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744A" w14:textId="77777777" w:rsidR="004423C1" w:rsidRPr="00F87297" w:rsidRDefault="004423C1" w:rsidP="004423C1">
      <w:pPr>
        <w:jc w:val="center"/>
        <w:rPr>
          <w:b/>
        </w:rPr>
      </w:pPr>
      <w:r w:rsidRPr="00F87297">
        <w:rPr>
          <w:b/>
        </w:rPr>
        <w:t>Türkiye-EFTA Revize Serbest Ticaret Anlaşması Hakkında Not</w:t>
      </w:r>
    </w:p>
    <w:p w14:paraId="41572462" w14:textId="77777777" w:rsidR="004423C1" w:rsidRPr="00F87297" w:rsidRDefault="004423C1" w:rsidP="004423C1">
      <w:pPr>
        <w:jc w:val="both"/>
      </w:pPr>
      <w:r w:rsidRPr="00F87297">
        <w:t xml:space="preserve">Avrupa Serbest Ticaret Birliği (EFTA) Devletleriyle (halen İsviçre, Norveç, İzlanda ve Lihtenştayn’dan oluşmaktadır) 10 Aralık 1991 yılında Cenevre’de imzalanan Türkiye-EFTA Serbest Ticaret Anlaşması (STA) 1 Nisan 1992 tarihinde yürürlüğe girmiş olup, Türkiye’nin akdettiği ilk STA olma özelliğini taşımaktadır. </w:t>
      </w:r>
    </w:p>
    <w:p w14:paraId="471B93DA" w14:textId="77777777" w:rsidR="004423C1" w:rsidRPr="00F87297" w:rsidRDefault="00055742" w:rsidP="004423C1">
      <w:pPr>
        <w:jc w:val="both"/>
      </w:pPr>
      <w:r w:rsidRPr="00F87297">
        <w:t>Anlaşma ile</w:t>
      </w:r>
      <w:r w:rsidR="004423C1" w:rsidRPr="00F87297">
        <w:t xml:space="preserve"> sanayi ve balıkçılık ürünlerinde gümrük vergileri kaldırılmış, işlenmiş tarım ürünleri (şekerlemeler, bisküvi, çikolata ve makarna </w:t>
      </w:r>
      <w:proofErr w:type="spellStart"/>
      <w:r w:rsidR="004423C1" w:rsidRPr="00F87297">
        <w:t>v.b</w:t>
      </w:r>
      <w:proofErr w:type="spellEnd"/>
      <w:r w:rsidR="004423C1" w:rsidRPr="00F87297">
        <w:t xml:space="preserve">.) itibariyle ise AB uygulaması şeklinde tercihli sistem düzenlenmiştir. Buna ek olarak, temel tarım ürünlerinde tek taraflı olarak ülkemiz lehine taviz sağlanmıştır. </w:t>
      </w:r>
    </w:p>
    <w:p w14:paraId="0803DA48" w14:textId="77777777" w:rsidR="004423C1" w:rsidRPr="00F87297" w:rsidRDefault="004423C1" w:rsidP="004423C1">
      <w:pPr>
        <w:jc w:val="both"/>
      </w:pPr>
      <w:r w:rsidRPr="00F87297">
        <w:t xml:space="preserve">DTÖ öncesi dönemde imzalanan ve genel itibariyle mal ticareti ve gümrük vergilerinin kaldırılması odaklı anlaşmanın yenilenmesi ve günümüz koşullarına uygun hale getirilmesi ihtiyacı hasıl olmuş ve bu amaçla 2014 yılında başlatılan müzakereler 2017 yılı sonu itibariyle tamamlanmıştır. </w:t>
      </w:r>
    </w:p>
    <w:p w14:paraId="16D9A598" w14:textId="77777777" w:rsidR="004423C1" w:rsidRPr="00F87297" w:rsidRDefault="004423C1" w:rsidP="004423C1">
      <w:pPr>
        <w:jc w:val="both"/>
      </w:pPr>
      <w:r w:rsidRPr="00F87297">
        <w:t xml:space="preserve">Yenilenmiş STA, Ekonomi Bakanımız Sayın Nihat ZEYBEKCİ tarafından 25 Haziran 2018 tarihinde İzlanda’nın </w:t>
      </w:r>
      <w:proofErr w:type="spellStart"/>
      <w:r w:rsidRPr="00F87297">
        <w:t>Saudarkrokur</w:t>
      </w:r>
      <w:proofErr w:type="spellEnd"/>
      <w:r w:rsidRPr="00F87297">
        <w:t xml:space="preserve"> kasabasında yapılan EFTA Ticaret Bakanları Toplantısı ile eş zamanlı düzenlenen imza töreninde imzalanmıştır.</w:t>
      </w:r>
    </w:p>
    <w:p w14:paraId="36B27CDB" w14:textId="77777777" w:rsidR="004423C1" w:rsidRPr="00F87297" w:rsidRDefault="004423C1" w:rsidP="004423C1">
      <w:pPr>
        <w:jc w:val="both"/>
      </w:pPr>
      <w:r w:rsidRPr="00F87297">
        <w:t xml:space="preserve">Eski anlaşma yerine geçmek üzere akdedilen revize </w:t>
      </w:r>
      <w:proofErr w:type="spellStart"/>
      <w:r w:rsidRPr="00F87297">
        <w:t>STA’da</w:t>
      </w:r>
      <w:proofErr w:type="spellEnd"/>
      <w:r w:rsidRPr="00F87297">
        <w:t xml:space="preserve"> aşağıda belirtilen unsurlara yer verilmektedir:  </w:t>
      </w:r>
    </w:p>
    <w:p w14:paraId="786C9FB8" w14:textId="77777777" w:rsidR="004423C1" w:rsidRPr="00F87297" w:rsidRDefault="004423C1" w:rsidP="004423C1">
      <w:pPr>
        <w:pStyle w:val="ListeParagraf"/>
        <w:numPr>
          <w:ilvl w:val="0"/>
          <w:numId w:val="1"/>
        </w:numPr>
        <w:jc w:val="both"/>
      </w:pPr>
      <w:r w:rsidRPr="00F87297">
        <w:t xml:space="preserve">Mal ticareti metni (gümrük vergileri, ulusal muamele, teknik engeller, sağlık ve bitki sağlığı, ticaret savunma araçları, vs.), menşe kuralları ile genel ve kurumsal hükümler güncellenmiş, çok taraflı düzenlemeler ve modern ikili anlaşmalarla paralel hale getirilmiştir. </w:t>
      </w:r>
    </w:p>
    <w:p w14:paraId="7A383E97" w14:textId="77777777" w:rsidR="004423C1" w:rsidRPr="00F87297" w:rsidRDefault="004423C1" w:rsidP="004423C1">
      <w:pPr>
        <w:pStyle w:val="ListeParagraf"/>
        <w:numPr>
          <w:ilvl w:val="0"/>
          <w:numId w:val="1"/>
        </w:numPr>
        <w:jc w:val="both"/>
      </w:pPr>
      <w:r w:rsidRPr="00F87297">
        <w:t xml:space="preserve">Anlaşmanın tabi olduğu </w:t>
      </w:r>
      <w:proofErr w:type="spellStart"/>
      <w:r w:rsidRPr="00F87297">
        <w:t>Pan</w:t>
      </w:r>
      <w:proofErr w:type="spellEnd"/>
      <w:r w:rsidRPr="00F87297">
        <w:t xml:space="preserve">-Avrupa-Akdeniz tercihli menşe kuralları Balkan ülkelerini de içerecek şekilde genişleyen Bölgesel Konvansiyon ile bağlantılı hale getirilmiş, bu sayede, daha büyük bir coğrafyadaki ekonomilerle kümülasyon </w:t>
      </w:r>
      <w:proofErr w:type="gramStart"/>
      <w:r w:rsidRPr="00F87297">
        <w:t>imkanı</w:t>
      </w:r>
      <w:proofErr w:type="gramEnd"/>
      <w:r w:rsidRPr="00F87297">
        <w:t xml:space="preserve"> sağlanarak, ticaret ve yatırım imkanları genişletilmiştir. İsviçre, İzlanda ve Norveç ile ikili tarım anlaşmalarında bu doğrultuda değişiklik yapan enstrümanlar da imzalanmıştır. </w:t>
      </w:r>
    </w:p>
    <w:p w14:paraId="5AC624A9" w14:textId="77777777" w:rsidR="004423C1" w:rsidRPr="00F87297" w:rsidRDefault="004423C1" w:rsidP="004423C1">
      <w:pPr>
        <w:pStyle w:val="ListeParagraf"/>
        <w:numPr>
          <w:ilvl w:val="0"/>
          <w:numId w:val="1"/>
        </w:numPr>
        <w:jc w:val="both"/>
      </w:pPr>
      <w:r w:rsidRPr="00F87297">
        <w:t xml:space="preserve">Ticaret savunma araçlarında DTÖ hükümlerinin ötesinde </w:t>
      </w:r>
      <w:proofErr w:type="gramStart"/>
      <w:r w:rsidRPr="00F87297">
        <w:t>işbirliği</w:t>
      </w:r>
      <w:proofErr w:type="gramEnd"/>
      <w:r w:rsidRPr="00F87297">
        <w:t xml:space="preserve"> ve danışma mekanizmaları tesis edilmiştir. </w:t>
      </w:r>
    </w:p>
    <w:p w14:paraId="7E794055" w14:textId="77777777" w:rsidR="004423C1" w:rsidRPr="00F87297" w:rsidRDefault="004423C1" w:rsidP="004423C1">
      <w:pPr>
        <w:pStyle w:val="ListeParagraf"/>
        <w:numPr>
          <w:ilvl w:val="0"/>
          <w:numId w:val="1"/>
        </w:numPr>
        <w:jc w:val="both"/>
      </w:pPr>
      <w:r w:rsidRPr="00F87297">
        <w:t>Günümüzde küresel rekabetin yönünü belirleyici etkiye sahip fikri mülkiyet alanında, dünyanın gelişmiş ekonomilerinden oluşan EFTA ile iddialı ve kapsamlı bir metin üzerinde mutabık kalınmıştır. Böylelikle, katma değeri yüksek ve orta üst teknolojili üretim ve ihracat yönündeki vizyonumuz ortaya konularak, yeniliklerin karşılıklı korunması ve sürekliliği açısından EFTA ülkeleri ile aramızda güçlü bir sistem tesis edilmiştir.</w:t>
      </w:r>
    </w:p>
    <w:p w14:paraId="0CA5EE06" w14:textId="77777777" w:rsidR="004423C1" w:rsidRPr="00F87297" w:rsidRDefault="004423C1" w:rsidP="004423C1">
      <w:pPr>
        <w:pStyle w:val="ListeParagraf"/>
        <w:numPr>
          <w:ilvl w:val="0"/>
          <w:numId w:val="1"/>
        </w:numPr>
        <w:jc w:val="both"/>
      </w:pPr>
      <w:r w:rsidRPr="00F87297">
        <w:t xml:space="preserve">Bu çerçevede, patent, marka, coğrafi işaretlerin korunması gibi alanlarda DTÖ kurallarının ötesinde düzenlemelere gidilmiş; </w:t>
      </w:r>
      <w:proofErr w:type="gramStart"/>
      <w:r w:rsidRPr="00F87297">
        <w:t>beşeri</w:t>
      </w:r>
      <w:proofErr w:type="gramEnd"/>
      <w:r w:rsidRPr="00F87297">
        <w:t xml:space="preserve"> ilaçlarda koyduğumuz üretim ve ihracat hedefleri dikkate alınarak bu ürünlerdeki verilerin korunması bakımından ilk defa karşılıklılık sağlanmış ve teknoloji transferi ile fikri mülkiyet hakları arasındaki ilişki vurgulanarak ilk defa bir serbest ticaret anlaşmamızda teknoloji transferini kolaylaştırmaya yönelik işbirliği hükümlerine yer verilmiştir.</w:t>
      </w:r>
    </w:p>
    <w:p w14:paraId="54A91A72" w14:textId="77777777" w:rsidR="004423C1" w:rsidRPr="00F87297" w:rsidRDefault="004423C1" w:rsidP="004423C1">
      <w:pPr>
        <w:pStyle w:val="ListeParagraf"/>
        <w:numPr>
          <w:ilvl w:val="0"/>
          <w:numId w:val="1"/>
        </w:numPr>
        <w:jc w:val="both"/>
      </w:pPr>
      <w:r w:rsidRPr="00F87297">
        <w:t xml:space="preserve">Gümrük iş ve işlemlerinin basitleştirilmesini sağlayan Ticaretin Kolaylaştırılmasına ilişkin DTÖ hükümleri anlaşmanın bir parçası haline getirilmiştir. </w:t>
      </w:r>
    </w:p>
    <w:p w14:paraId="76685F14" w14:textId="3D217933" w:rsidR="004423C1" w:rsidRPr="00F87297" w:rsidRDefault="004423C1" w:rsidP="004423C1">
      <w:pPr>
        <w:pStyle w:val="ListeParagraf"/>
        <w:numPr>
          <w:ilvl w:val="0"/>
          <w:numId w:val="1"/>
        </w:numPr>
        <w:jc w:val="both"/>
      </w:pPr>
      <w:r w:rsidRPr="00F87297">
        <w:t xml:space="preserve">Anlaşmanın uygulanmasında veya yorumlanmasında meydana gelen tüm anlaşmazlıklar için uygulanacak gelişmiş bir ikili anlaşmazlıkların halli mekanizması oluşturulmuştur. </w:t>
      </w:r>
    </w:p>
    <w:p w14:paraId="0A5329B7" w14:textId="77777777" w:rsidR="00F87297" w:rsidRPr="00F87297" w:rsidRDefault="00F87297" w:rsidP="00F87297">
      <w:pPr>
        <w:pStyle w:val="ListeParagraf"/>
        <w:numPr>
          <w:ilvl w:val="0"/>
          <w:numId w:val="1"/>
        </w:numPr>
        <w:jc w:val="both"/>
      </w:pPr>
      <w:r w:rsidRPr="00F87297">
        <w:lastRenderedPageBreak/>
        <w:t xml:space="preserve">İsviçre ile Türkiye arasındaki temel tarım ürünleri ve işlenmiş tarım ürünleri ticaretinde ileri </w:t>
      </w:r>
      <w:proofErr w:type="spellStart"/>
      <w:r w:rsidRPr="00F87297">
        <w:t>liberalizasyona</w:t>
      </w:r>
      <w:proofErr w:type="spellEnd"/>
      <w:r w:rsidRPr="00F87297">
        <w:t xml:space="preserve"> gidilmiştir. Türkiye’nin tarım ürünleri ihracatında öne çıkan ürünlerin İsviçre pazarına tercihli girişi temin edilmiştir.</w:t>
      </w:r>
    </w:p>
    <w:p w14:paraId="337404A8" w14:textId="77777777" w:rsidR="00F87297" w:rsidRPr="00F87297" w:rsidRDefault="00F87297" w:rsidP="00F87297">
      <w:pPr>
        <w:pStyle w:val="ListeParagraf"/>
        <w:numPr>
          <w:ilvl w:val="0"/>
          <w:numId w:val="1"/>
        </w:numPr>
        <w:jc w:val="both"/>
      </w:pPr>
      <w:r w:rsidRPr="00F87297">
        <w:t>Temel tarım ürünlerinde, İsviçre eski Anlaşmadaki tavizli ürünlere ilave olarak, 8’li bazda 55 tarife satırında (12’li bazda 237) Türkiye’ye karşı AB ile aynı veya daha düşük vergi uygulamayı taahhüt etmiştir (sızma zeytinyağı, narenciye, domates, sofralık üzüm gibi taze meyve sebzeler, meyve-sebze konserveleri, meyve suları, salatalık turşusu gibi ihracatımız için önem arz eden ürünlerde). Böylelikle İsviçre’ye temel tarım ürünleri ihracatımızın yaklaşık %80’i İsviçre’nin tavizlerinden yararlanır hale gelmiştir. Buna karşılık İsviçre’ye, bazı sebzeler; sucuk-sosis gibi et ürünleri, bazı peynir türleri, meyve suları ile şarap ve alkollü içecekler gibi 22 satır üründe sınırlı tarife kontenjanı kapsamında gümrük vergisi indirimi veya gümrük muafiyeti tanınmıştır.</w:t>
      </w:r>
    </w:p>
    <w:p w14:paraId="04E37D32" w14:textId="77777777" w:rsidR="00F87297" w:rsidRPr="00F87297" w:rsidRDefault="00F87297" w:rsidP="00F87297">
      <w:pPr>
        <w:pStyle w:val="ListeParagraf"/>
        <w:numPr>
          <w:ilvl w:val="0"/>
          <w:numId w:val="1"/>
        </w:numPr>
        <w:jc w:val="both"/>
      </w:pPr>
      <w:r w:rsidRPr="00F87297">
        <w:t xml:space="preserve">İşlenmiş tarım ürünlerinde ise, İsviçre, Türkiye’den ithalatında 57 tarife satırında diğer STA ortaklarından, bazılarında AB’ye uyguladığından daha düşük vergi uygulayacaktır. Böylelikle bulgur, makarna, bisküvi, şekerleme, çikolata gibi İsviçre’ye ihraç etmekte olduğumuz ve ihraç potansiyelimiz bulunan hemen tüm işlenmiş tarım ürünlerinde gümrük vergisiz veya indirimli gümrük vergisiyle ihracat yapma </w:t>
      </w:r>
      <w:proofErr w:type="gramStart"/>
      <w:r w:rsidRPr="00F87297">
        <w:t>imkanı</w:t>
      </w:r>
      <w:proofErr w:type="gramEnd"/>
      <w:r w:rsidRPr="00F87297">
        <w:t xml:space="preserve"> sağlanmıştır. Buna karşılık Türkiye, 12’li GTİP bazında toplamda 33 adet üründe mevcut gümrük vergisi üzerinden İsviçre’ye %15 ilave indirim sağlamıştır.</w:t>
      </w:r>
    </w:p>
    <w:p w14:paraId="4833723E" w14:textId="3E845A53" w:rsidR="00F87297" w:rsidRPr="00F87297" w:rsidRDefault="00F87297" w:rsidP="00F87297">
      <w:pPr>
        <w:pStyle w:val="ListeParagraf"/>
        <w:numPr>
          <w:ilvl w:val="0"/>
          <w:numId w:val="1"/>
        </w:numPr>
        <w:jc w:val="both"/>
      </w:pPr>
      <w:r w:rsidRPr="00F87297">
        <w:t xml:space="preserve">İzlanda ve Norveç ile tarım ürünleri ve işlenmiş tarım ürünleri ticaretinde eski anlaşmalardaki rejim muhafaza edilmiştir. </w:t>
      </w:r>
    </w:p>
    <w:p w14:paraId="23F20219" w14:textId="5356476A" w:rsidR="00583B8B" w:rsidRPr="00F87297" w:rsidRDefault="00583B8B" w:rsidP="004423C1">
      <w:pPr>
        <w:pStyle w:val="ListeParagraf"/>
        <w:numPr>
          <w:ilvl w:val="0"/>
          <w:numId w:val="1"/>
        </w:numPr>
        <w:jc w:val="both"/>
      </w:pPr>
      <w:r w:rsidRPr="00F87297">
        <w:t>Hizmet ticaretine ilişkin kural ve taahhütlerin kapsama dahil edilmesiyle Türkiye, hizmet sunucuları ve yatırımcıları için daha öngörülebilir bir ticaret ortamı elde edilmiş</w:t>
      </w:r>
      <w:r w:rsidR="00622E39" w:rsidRPr="00F87297">
        <w:t>tir</w:t>
      </w:r>
      <w:r w:rsidRPr="00F87297">
        <w:t>.</w:t>
      </w:r>
    </w:p>
    <w:p w14:paraId="1D14700A" w14:textId="5BAE1305" w:rsidR="004423C1" w:rsidRPr="00F87297" w:rsidRDefault="00583B8B" w:rsidP="004423C1">
      <w:pPr>
        <w:pStyle w:val="ListeParagraf"/>
        <w:numPr>
          <w:ilvl w:val="0"/>
          <w:numId w:val="1"/>
        </w:numPr>
        <w:jc w:val="both"/>
      </w:pPr>
      <w:r w:rsidRPr="00F87297">
        <w:t>Bu kapsamda, k</w:t>
      </w:r>
      <w:r w:rsidR="004423C1" w:rsidRPr="00F87297">
        <w:t>arayolu taşımacılığında</w:t>
      </w:r>
      <w:r w:rsidR="003A6D6F" w:rsidRPr="00F87297">
        <w:t xml:space="preserve"> </w:t>
      </w:r>
      <w:r w:rsidR="004423C1" w:rsidRPr="00F87297">
        <w:t xml:space="preserve">kotalar kaldırılmış, </w:t>
      </w:r>
      <w:r w:rsidR="003A6D6F" w:rsidRPr="00F87297">
        <w:t>a</w:t>
      </w:r>
      <w:r w:rsidR="004423C1" w:rsidRPr="00F87297">
        <w:t>yrıca taşımacılarımızın yüksek ve ayrımcı ücretlendirmeye tabi tutulmalarının önüne geçilmiştir. Taşımacılık personeli de dahil olmak üzere iş adamlarımızın ve diğer hizmet sunucularının vize, çalışma ve oturma gibi izinlerin</w:t>
      </w:r>
      <w:r w:rsidR="00FB005E" w:rsidRPr="00F87297">
        <w:t>in</w:t>
      </w:r>
      <w:r w:rsidR="004423C1" w:rsidRPr="00F87297">
        <w:t xml:space="preserve"> alınması kolaylaştırılmıştır. EFTA ülkelerine iş amaçlı seyahat</w:t>
      </w:r>
      <w:r w:rsidRPr="00F87297">
        <w:t xml:space="preserve">lerde </w:t>
      </w:r>
      <w:r w:rsidR="004423C1" w:rsidRPr="00F87297">
        <w:t>şartları</w:t>
      </w:r>
      <w:r w:rsidRPr="00F87297">
        <w:t>n</w:t>
      </w:r>
      <w:r w:rsidR="004423C1" w:rsidRPr="00F87297">
        <w:t xml:space="preserve"> karşıla</w:t>
      </w:r>
      <w:r w:rsidRPr="00F87297">
        <w:t>n</w:t>
      </w:r>
      <w:r w:rsidR="004423C1" w:rsidRPr="00F87297">
        <w:t>ma</w:t>
      </w:r>
      <w:r w:rsidRPr="00F87297">
        <w:t>s</w:t>
      </w:r>
      <w:r w:rsidR="004423C1" w:rsidRPr="00F87297">
        <w:t>ı halinde çok girişli vize verilmesi de dünyada ilk defa bir ticaret anlaşmasıyla garanti altına alınmış olmaktadır.</w:t>
      </w:r>
    </w:p>
    <w:p w14:paraId="341AE728" w14:textId="77777777" w:rsidR="004423C1" w:rsidRPr="00F87297" w:rsidRDefault="004423C1" w:rsidP="004423C1">
      <w:pPr>
        <w:pStyle w:val="ListeParagraf"/>
        <w:numPr>
          <w:ilvl w:val="0"/>
          <w:numId w:val="1"/>
        </w:numPr>
        <w:jc w:val="both"/>
      </w:pPr>
      <w:r w:rsidRPr="00F87297">
        <w:t>İsviçre ile özel sağlık hizmetleri, yaşlı bakım hizmetleri ve “</w:t>
      </w:r>
      <w:proofErr w:type="spellStart"/>
      <w:r w:rsidRPr="00F87297">
        <w:t>wellness</w:t>
      </w:r>
      <w:proofErr w:type="spellEnd"/>
      <w:r w:rsidRPr="00F87297">
        <w:t xml:space="preserve">” hizmetleri alanlarında hasta hareketliliği kolaylaştırılmıştır. </w:t>
      </w:r>
    </w:p>
    <w:p w14:paraId="0722B3DD" w14:textId="401C9B55" w:rsidR="004423C1" w:rsidRPr="00F87297" w:rsidRDefault="004423C1" w:rsidP="004423C1">
      <w:pPr>
        <w:pStyle w:val="ListeParagraf"/>
        <w:numPr>
          <w:ilvl w:val="0"/>
          <w:numId w:val="1"/>
        </w:numPr>
        <w:jc w:val="both"/>
      </w:pPr>
      <w:r w:rsidRPr="00F87297">
        <w:t>Turizm hizmetleri</w:t>
      </w:r>
      <w:r w:rsidR="006449A0" w:rsidRPr="00F87297">
        <w:t xml:space="preserve">nde, </w:t>
      </w:r>
      <w:r w:rsidRPr="00F87297">
        <w:t>paket tur düzenleyen Türk seyahat acenteleriyle EFTA ülkesi seyahat acentelerinden aynı miktarda teminat alınması hüküm altına alınarak uluslararası rekabetin tesisi açısından bir adım atılmıştır.</w:t>
      </w:r>
    </w:p>
    <w:p w14:paraId="0E4E761A" w14:textId="2F6AC712" w:rsidR="004423C1" w:rsidRPr="00F87297" w:rsidRDefault="00D313CE" w:rsidP="004423C1">
      <w:pPr>
        <w:pStyle w:val="ListeParagraf"/>
        <w:numPr>
          <w:ilvl w:val="0"/>
          <w:numId w:val="1"/>
        </w:numPr>
        <w:jc w:val="both"/>
      </w:pPr>
      <w:r w:rsidRPr="00F87297">
        <w:t>Ayrıca,</w:t>
      </w:r>
      <w:r w:rsidR="004423C1" w:rsidRPr="00F87297">
        <w:t xml:space="preserve"> anlaşma kapsamına e-ticaret de dahil edilirken, elektronik olarak iletilen yazılım gibi ürünlerin gümrük vergisinden muafiyeti</w:t>
      </w:r>
      <w:r w:rsidR="006449A0" w:rsidRPr="00F87297">
        <w:t>nin</w:t>
      </w:r>
      <w:r w:rsidR="004423C1" w:rsidRPr="00F87297">
        <w:t xml:space="preserve"> güvence altına alınma</w:t>
      </w:r>
      <w:r w:rsidR="005B72C7" w:rsidRPr="00F87297">
        <w:t xml:space="preserve">sı, </w:t>
      </w:r>
      <w:r w:rsidR="004423C1" w:rsidRPr="00F87297">
        <w:t xml:space="preserve">tüketicinin korunmasına yönelik </w:t>
      </w:r>
      <w:r w:rsidR="00FA2E0B" w:rsidRPr="00F87297">
        <w:t xml:space="preserve">mevzuatın </w:t>
      </w:r>
      <w:r w:rsidR="004423C1" w:rsidRPr="00F87297">
        <w:t xml:space="preserve">benzer </w:t>
      </w:r>
      <w:r w:rsidR="00FA2E0B" w:rsidRPr="00F87297">
        <w:t>olması, istenmeyen</w:t>
      </w:r>
      <w:r w:rsidR="004423C1" w:rsidRPr="00F87297">
        <w:t xml:space="preserve"> ticari iletilerin önlenmesi, kişisel verilerin korunmasına yönelik önlemler</w:t>
      </w:r>
      <w:r w:rsidRPr="00F87297">
        <w:t>in alınması</w:t>
      </w:r>
      <w:r w:rsidR="004423C1" w:rsidRPr="00F87297">
        <w:t xml:space="preserve"> ve elektronik imza sertifikalarının karşılıklı tanınması gibi önemli hükümlere yer verilmektedir. </w:t>
      </w:r>
    </w:p>
    <w:p w14:paraId="5EE7B21D" w14:textId="1ECC967F" w:rsidR="007349BB" w:rsidRPr="00F87297" w:rsidRDefault="004423C1" w:rsidP="004423C1">
      <w:pPr>
        <w:jc w:val="both"/>
      </w:pPr>
      <w:r w:rsidRPr="00F87297">
        <w:t xml:space="preserve">İsviçre, Norveç, İzlanda ve </w:t>
      </w:r>
      <w:proofErr w:type="spellStart"/>
      <w:r w:rsidRPr="00F87297">
        <w:t>Lie</w:t>
      </w:r>
      <w:r w:rsidR="00055742" w:rsidRPr="00F87297">
        <w:t>c</w:t>
      </w:r>
      <w:r w:rsidRPr="00F87297">
        <w:t>htenstein’den</w:t>
      </w:r>
      <w:proofErr w:type="spellEnd"/>
      <w:r w:rsidRPr="00F87297">
        <w:t xml:space="preserve"> oluşan, </w:t>
      </w:r>
      <w:r w:rsidR="007D36AB" w:rsidRPr="00F87297">
        <w:t>14</w:t>
      </w:r>
      <w:r w:rsidRPr="00F87297">
        <w:t xml:space="preserve"> Milyonluk nüfusa ve yaklaşık 1</w:t>
      </w:r>
      <w:r w:rsidR="007D36AB" w:rsidRPr="00F87297">
        <w:t>,1</w:t>
      </w:r>
      <w:r w:rsidRPr="00F87297">
        <w:t xml:space="preserve"> Trilyon Dolarlık Gayri Safi Yurtiçi Hasılaya sahip olan EFTA ile mevcut ikili ticaret hacmimiz 20</w:t>
      </w:r>
      <w:r w:rsidR="00F71D6E" w:rsidRPr="00F87297">
        <w:t>20</w:t>
      </w:r>
      <w:r w:rsidR="007D36AB" w:rsidRPr="00F87297">
        <w:t xml:space="preserve"> yılı itibariyle yaklaşık </w:t>
      </w:r>
      <w:r w:rsidR="00F71D6E" w:rsidRPr="00F87297">
        <w:t>11</w:t>
      </w:r>
      <w:r w:rsidRPr="00F87297">
        <w:t xml:space="preserve"> Milyar Dolar düzeyindedir. </w:t>
      </w:r>
      <w:proofErr w:type="spellStart"/>
      <w:r w:rsidRPr="00F87297">
        <w:t>STA’nın</w:t>
      </w:r>
      <w:proofErr w:type="spellEnd"/>
      <w:r w:rsidRPr="00F87297">
        <w:t xml:space="preserve"> revizyonu ile birlikte taraflar arasında mal ticaretinin yanı sıra hizmetler ticareti de gelişecek ve ekonomik entegrasyon daha üst seviyelere yükselecektir.</w:t>
      </w:r>
    </w:p>
    <w:sectPr w:rsidR="007349BB" w:rsidRPr="00F87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A52"/>
    <w:multiLevelType w:val="hybridMultilevel"/>
    <w:tmpl w:val="3ADA0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C1"/>
    <w:rsid w:val="00022140"/>
    <w:rsid w:val="00055742"/>
    <w:rsid w:val="001D7939"/>
    <w:rsid w:val="003A6D6F"/>
    <w:rsid w:val="003B6322"/>
    <w:rsid w:val="003D646B"/>
    <w:rsid w:val="004423C1"/>
    <w:rsid w:val="00583B8B"/>
    <w:rsid w:val="005B72C7"/>
    <w:rsid w:val="00622E39"/>
    <w:rsid w:val="006449A0"/>
    <w:rsid w:val="007349BB"/>
    <w:rsid w:val="007D36AB"/>
    <w:rsid w:val="00A02A8A"/>
    <w:rsid w:val="00A05C90"/>
    <w:rsid w:val="00C4385E"/>
    <w:rsid w:val="00D313CE"/>
    <w:rsid w:val="00DF63FF"/>
    <w:rsid w:val="00E84C25"/>
    <w:rsid w:val="00F71D6E"/>
    <w:rsid w:val="00F87297"/>
    <w:rsid w:val="00FA2E0B"/>
    <w:rsid w:val="00FB0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CBA7"/>
  <w15:chartTrackingRefBased/>
  <w15:docId w15:val="{40AE3C58-D05F-4BBD-B72A-EBEE9EBE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ERGÜNAL</dc:creator>
  <cp:keywords/>
  <dc:description/>
  <cp:lastModifiedBy>Özlem Taytaş Öztürk</cp:lastModifiedBy>
  <cp:revision>14</cp:revision>
  <dcterms:created xsi:type="dcterms:W3CDTF">2021-06-14T08:41:00Z</dcterms:created>
  <dcterms:modified xsi:type="dcterms:W3CDTF">2021-06-21T08:58:00Z</dcterms:modified>
</cp:coreProperties>
</file>